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5343D" w14:textId="77777777" w:rsidR="00DB15F8" w:rsidRPr="00DB15F8" w:rsidRDefault="00DB15F8" w:rsidP="00DB15F8">
      <w:pPr>
        <w:rPr>
          <w:rFonts w:ascii="Calibri" w:hAnsi="Calibri" w:cs="Calibri"/>
          <w:bCs/>
        </w:rPr>
      </w:pPr>
      <w:r w:rsidRPr="00DB15F8">
        <w:rPr>
          <w:rFonts w:ascii="Calibri" w:hAnsi="Calibri" w:cs="Calibri"/>
          <w:bCs/>
          <w:noProof/>
        </w:rPr>
        <w:drawing>
          <wp:inline distT="0" distB="0" distL="0" distR="0" wp14:anchorId="7EA80757" wp14:editId="0F2E93B0">
            <wp:extent cx="1905000" cy="657225"/>
            <wp:effectExtent l="0" t="0" r="0" b="9525"/>
            <wp:docPr id="1" name="Picture 1" descr="C:\Users\nrice\Desktop\tgc_email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rice\Desktop\tgc_emails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1B0DA" w14:textId="77777777" w:rsidR="00DB15F8" w:rsidRDefault="00DB15F8" w:rsidP="00D808D0">
      <w:pPr>
        <w:jc w:val="center"/>
        <w:rPr>
          <w:rFonts w:ascii="Calibri" w:hAnsi="Calibri" w:cs="Calibri"/>
          <w:b/>
          <w:bCs/>
          <w:u w:val="single"/>
        </w:rPr>
      </w:pPr>
    </w:p>
    <w:p w14:paraId="676A4082" w14:textId="64B9AF73" w:rsidR="00D86136" w:rsidRPr="00D25AAB" w:rsidRDefault="004F0C82" w:rsidP="00D808D0">
      <w:pPr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Public Access</w:t>
      </w:r>
      <w:r w:rsidR="00331AFF" w:rsidRPr="00D25AAB">
        <w:rPr>
          <w:rFonts w:ascii="Calibri" w:hAnsi="Calibri" w:cs="Calibri"/>
          <w:b/>
          <w:bCs/>
          <w:u w:val="single"/>
        </w:rPr>
        <w:t xml:space="preserve"> – </w:t>
      </w:r>
      <w:r w:rsidR="000120C2">
        <w:rPr>
          <w:rFonts w:ascii="Calibri" w:hAnsi="Calibri" w:cs="Calibri"/>
          <w:b/>
          <w:bCs/>
          <w:u w:val="single"/>
        </w:rPr>
        <w:t xml:space="preserve">Employment </w:t>
      </w:r>
      <w:r w:rsidR="00F9306C">
        <w:rPr>
          <w:rFonts w:ascii="Calibri" w:hAnsi="Calibri" w:cs="Calibri"/>
          <w:b/>
          <w:bCs/>
          <w:u w:val="single"/>
        </w:rPr>
        <w:t>Tribunal</w:t>
      </w:r>
      <w:r>
        <w:rPr>
          <w:rFonts w:ascii="Calibri" w:hAnsi="Calibri" w:cs="Calibri"/>
          <w:b/>
          <w:bCs/>
          <w:u w:val="single"/>
        </w:rPr>
        <w:t xml:space="preserve"> </w:t>
      </w:r>
    </w:p>
    <w:p w14:paraId="7239A699" w14:textId="77777777" w:rsidR="00331AFF" w:rsidRPr="00D25AAB" w:rsidRDefault="00331AFF">
      <w:pPr>
        <w:rPr>
          <w:rFonts w:ascii="Calibri" w:hAnsi="Calibri" w:cs="Calibri"/>
          <w:b/>
          <w:bCs/>
          <w:u w:val="single"/>
        </w:rPr>
      </w:pPr>
    </w:p>
    <w:p w14:paraId="28B92C0D" w14:textId="77777777" w:rsidR="00F23032" w:rsidRPr="00F23032" w:rsidRDefault="00F23032" w:rsidP="00F23032">
      <w:pPr>
        <w:rPr>
          <w:rFonts w:ascii="Calibri" w:hAnsi="Calibri" w:cs="Calibri"/>
        </w:rPr>
      </w:pPr>
      <w:r w:rsidRPr="00F23032">
        <w:rPr>
          <w:rFonts w:ascii="Calibri" w:hAnsi="Calibri" w:cs="Calibri"/>
        </w:rPr>
        <w:t>Our barristers can advise both employees and employers on ordinary unfair dismissal and wrongful dismissal claims. Our barristers can also represent both employees and employers at the Employment Tribunal.</w:t>
      </w:r>
    </w:p>
    <w:p w14:paraId="62DBBAEC" w14:textId="77777777" w:rsidR="00331AFF" w:rsidRPr="00D25AAB" w:rsidRDefault="00331AFF">
      <w:pPr>
        <w:rPr>
          <w:rFonts w:ascii="Calibri" w:hAnsi="Calibri" w:cs="Calibri"/>
          <w:b/>
          <w:bCs/>
          <w:u w:val="single"/>
        </w:rPr>
      </w:pPr>
    </w:p>
    <w:p w14:paraId="229EE586" w14:textId="77777777" w:rsidR="00331AFF" w:rsidRPr="00D25AAB" w:rsidRDefault="00331AFF" w:rsidP="005A7CC1">
      <w:pPr>
        <w:jc w:val="both"/>
        <w:rPr>
          <w:rFonts w:ascii="Calibri" w:hAnsi="Calibri" w:cs="Calibri"/>
          <w:b/>
          <w:bCs/>
          <w:u w:val="single"/>
        </w:rPr>
      </w:pPr>
      <w:r w:rsidRPr="00D25AAB">
        <w:rPr>
          <w:rFonts w:ascii="Calibri" w:hAnsi="Calibri" w:cs="Calibri"/>
          <w:b/>
          <w:bCs/>
          <w:u w:val="single"/>
        </w:rPr>
        <w:t>Timescales</w:t>
      </w:r>
    </w:p>
    <w:p w14:paraId="108E3EB1" w14:textId="77777777" w:rsidR="002D3E92" w:rsidRPr="002D3E92" w:rsidRDefault="00F23032" w:rsidP="002D3E92">
      <w:pPr>
        <w:jc w:val="both"/>
        <w:rPr>
          <w:rFonts w:ascii="Calibri" w:hAnsi="Calibri" w:cs="Calibri"/>
        </w:rPr>
      </w:pPr>
      <w:r w:rsidRPr="00F23032">
        <w:rPr>
          <w:rFonts w:ascii="Calibri" w:hAnsi="Calibri" w:cs="Calibri"/>
        </w:rPr>
        <w:t xml:space="preserve">Timescales for your case may vary depending on factors such as barristers’ availability, the complexity of your case, the need for additional documents and the other side’s approach. However, as a guide more straightforward cases </w:t>
      </w:r>
      <w:r w:rsidR="002D3E92">
        <w:rPr>
          <w:rFonts w:ascii="Calibri" w:hAnsi="Calibri" w:cs="Calibri"/>
        </w:rPr>
        <w:t>will ideally</w:t>
      </w:r>
      <w:r w:rsidRPr="00F23032">
        <w:rPr>
          <w:rFonts w:ascii="Calibri" w:hAnsi="Calibri" w:cs="Calibri"/>
        </w:rPr>
        <w:t xml:space="preserve"> </w:t>
      </w:r>
      <w:r w:rsidR="00F9306C">
        <w:rPr>
          <w:rFonts w:ascii="Calibri" w:hAnsi="Calibri" w:cs="Calibri"/>
        </w:rPr>
        <w:t xml:space="preserve">settle within </w:t>
      </w:r>
      <w:r w:rsidR="002D3E92">
        <w:rPr>
          <w:rFonts w:ascii="Calibri" w:hAnsi="Calibri" w:cs="Calibri"/>
        </w:rPr>
        <w:t>six to twelve</w:t>
      </w:r>
      <w:r w:rsidR="00F9306C">
        <w:rPr>
          <w:rFonts w:ascii="Calibri" w:hAnsi="Calibri" w:cs="Calibri"/>
        </w:rPr>
        <w:t xml:space="preserve"> months of the claim being submitted and if a trial is required then it will usually take place within 12-18 months of the papers being sent to the </w:t>
      </w:r>
      <w:r w:rsidR="002D3E92">
        <w:rPr>
          <w:rFonts w:ascii="Calibri" w:hAnsi="Calibri" w:cs="Calibri"/>
        </w:rPr>
        <w:t>Tribunal</w:t>
      </w:r>
      <w:r w:rsidR="00F9306C">
        <w:rPr>
          <w:rFonts w:ascii="Calibri" w:hAnsi="Calibri" w:cs="Calibri"/>
        </w:rPr>
        <w:t>.</w:t>
      </w:r>
      <w:r w:rsidR="002D3E92">
        <w:rPr>
          <w:rFonts w:ascii="Calibri" w:hAnsi="Calibri" w:cs="Calibri"/>
        </w:rPr>
        <w:t xml:space="preserve"> </w:t>
      </w:r>
      <w:r w:rsidR="002D3E92" w:rsidRPr="002D3E92">
        <w:rPr>
          <w:rFonts w:ascii="Calibri" w:hAnsi="Calibri" w:cs="Calibri"/>
        </w:rPr>
        <w:t>There is the possibility of your case taking longer as a result of an appeal from the Tribunal decision.</w:t>
      </w:r>
    </w:p>
    <w:p w14:paraId="2F97A183" w14:textId="30949B60" w:rsidR="00F23032" w:rsidRPr="00D25AAB" w:rsidRDefault="00F9306C" w:rsidP="005A7CC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671BDF1A" w14:textId="77777777" w:rsidR="00331AFF" w:rsidRPr="00D25AAB" w:rsidRDefault="00331AFF" w:rsidP="005A7CC1">
      <w:pPr>
        <w:jc w:val="both"/>
        <w:rPr>
          <w:rFonts w:ascii="Calibri" w:hAnsi="Calibri" w:cs="Calibri"/>
          <w:b/>
          <w:bCs/>
          <w:u w:val="single"/>
        </w:rPr>
      </w:pPr>
      <w:r w:rsidRPr="00D25AAB">
        <w:rPr>
          <w:rFonts w:ascii="Calibri" w:hAnsi="Calibri" w:cs="Calibri"/>
          <w:b/>
          <w:bCs/>
          <w:u w:val="single"/>
        </w:rPr>
        <w:t>Fees</w:t>
      </w:r>
    </w:p>
    <w:p w14:paraId="334AD159" w14:textId="322844B9" w:rsidR="00331AFF" w:rsidRPr="00D25AAB" w:rsidRDefault="000120C2" w:rsidP="005A7CC1">
      <w:pPr>
        <w:jc w:val="both"/>
        <w:rPr>
          <w:rFonts w:ascii="Calibri" w:hAnsi="Calibri" w:cs="Calibri"/>
        </w:rPr>
      </w:pPr>
      <w:r w:rsidRPr="000120C2">
        <w:rPr>
          <w:rFonts w:ascii="Calibri" w:hAnsi="Calibri" w:cs="Calibri"/>
        </w:rPr>
        <w:t xml:space="preserve">We may charge fixed fees, which means that we will charge you a set amount of money for the work. </w:t>
      </w:r>
      <w:r w:rsidR="00F23032">
        <w:rPr>
          <w:rFonts w:ascii="Calibri" w:hAnsi="Calibri" w:cs="Calibri"/>
        </w:rPr>
        <w:t>Below we provide estimates based on the ranges of fees for barristers in Temple Garden Chambers. All fees include VAT (where applicable).</w:t>
      </w:r>
      <w:r w:rsidR="005A7CC1" w:rsidRPr="00D25AAB">
        <w:rPr>
          <w:rFonts w:ascii="Calibri" w:hAnsi="Calibri" w:cs="Calibri"/>
        </w:rPr>
        <w:t xml:space="preserve"> </w:t>
      </w:r>
      <w:r w:rsidR="00F23032" w:rsidRPr="00F23032">
        <w:rPr>
          <w:rFonts w:ascii="Calibri" w:hAnsi="Calibri" w:cs="Calibri"/>
        </w:rPr>
        <w:t xml:space="preserve">If we charge fixed fees, these may vary depending on your needs – for example, your fees may be towards the higher end of the range if you need a more experienced barrister and/or you have a more complex case. If you have a particularly complex case, your fees may also be higher than the estimates below. </w:t>
      </w:r>
      <w:r w:rsidR="005A7CC1" w:rsidRPr="00D25AAB">
        <w:rPr>
          <w:rFonts w:ascii="Calibri" w:hAnsi="Calibri" w:cs="Calibri"/>
        </w:rPr>
        <w:t xml:space="preserve">If there are any </w:t>
      </w:r>
      <w:r>
        <w:rPr>
          <w:rFonts w:ascii="Calibri" w:hAnsi="Calibri" w:cs="Calibri"/>
        </w:rPr>
        <w:t xml:space="preserve">other </w:t>
      </w:r>
      <w:r w:rsidR="005A7CC1" w:rsidRPr="00D25AAB">
        <w:rPr>
          <w:rFonts w:ascii="Calibri" w:hAnsi="Calibri" w:cs="Calibri"/>
        </w:rPr>
        <w:t>additional costs, such as train fares or overnight accommodation, these will be set out in the covering letter. On average typical expenses for one day range from £</w:t>
      </w:r>
      <w:r w:rsidR="00DB15F8">
        <w:rPr>
          <w:rFonts w:ascii="Calibri" w:hAnsi="Calibri" w:cs="Calibri"/>
        </w:rPr>
        <w:t>6</w:t>
      </w:r>
      <w:r>
        <w:rPr>
          <w:rFonts w:ascii="Calibri" w:hAnsi="Calibri" w:cs="Calibri"/>
        </w:rPr>
        <w:t>0</w:t>
      </w:r>
      <w:r w:rsidR="00DB15F8">
        <w:rPr>
          <w:rFonts w:ascii="Calibri" w:hAnsi="Calibri" w:cs="Calibri"/>
        </w:rPr>
        <w:t xml:space="preserve"> (</w:t>
      </w:r>
      <w:proofErr w:type="spellStart"/>
      <w:r w:rsidR="00DB15F8">
        <w:rPr>
          <w:rFonts w:ascii="Calibri" w:hAnsi="Calibri" w:cs="Calibri"/>
        </w:rPr>
        <w:t>inc</w:t>
      </w:r>
      <w:proofErr w:type="spellEnd"/>
      <w:r w:rsidR="00DB15F8">
        <w:rPr>
          <w:rFonts w:ascii="Calibri" w:hAnsi="Calibri" w:cs="Calibri"/>
        </w:rPr>
        <w:t xml:space="preserve"> </w:t>
      </w:r>
      <w:r w:rsidR="00C817B5">
        <w:rPr>
          <w:rFonts w:ascii="Calibri" w:hAnsi="Calibri" w:cs="Calibri"/>
        </w:rPr>
        <w:t>VAT</w:t>
      </w:r>
      <w:r w:rsidR="00DB15F8">
        <w:rPr>
          <w:rFonts w:ascii="Calibri" w:hAnsi="Calibri" w:cs="Calibri"/>
        </w:rPr>
        <w:t>)</w:t>
      </w:r>
      <w:r w:rsidR="005A7CC1" w:rsidRPr="00D25AAB">
        <w:rPr>
          <w:rFonts w:ascii="Calibri" w:hAnsi="Calibri" w:cs="Calibri"/>
        </w:rPr>
        <w:t xml:space="preserve"> for travel up to £</w:t>
      </w:r>
      <w:r w:rsidR="00DB15F8">
        <w:rPr>
          <w:rFonts w:ascii="Calibri" w:hAnsi="Calibri" w:cs="Calibri"/>
        </w:rPr>
        <w:t>6</w:t>
      </w:r>
      <w:r w:rsidR="005A7CC1" w:rsidRPr="00D25AAB">
        <w:rPr>
          <w:rFonts w:ascii="Calibri" w:hAnsi="Calibri" w:cs="Calibri"/>
        </w:rPr>
        <w:t>00</w:t>
      </w:r>
      <w:r w:rsidR="00DB15F8">
        <w:rPr>
          <w:rFonts w:ascii="Calibri" w:hAnsi="Calibri" w:cs="Calibri"/>
        </w:rPr>
        <w:t xml:space="preserve"> (</w:t>
      </w:r>
      <w:proofErr w:type="spellStart"/>
      <w:r w:rsidR="00DB15F8">
        <w:rPr>
          <w:rFonts w:ascii="Calibri" w:hAnsi="Calibri" w:cs="Calibri"/>
        </w:rPr>
        <w:t>inc</w:t>
      </w:r>
      <w:proofErr w:type="spellEnd"/>
      <w:r w:rsidR="00DB15F8">
        <w:rPr>
          <w:rFonts w:ascii="Calibri" w:hAnsi="Calibri" w:cs="Calibri"/>
        </w:rPr>
        <w:t xml:space="preserve"> </w:t>
      </w:r>
      <w:r w:rsidR="00C817B5">
        <w:rPr>
          <w:rFonts w:ascii="Calibri" w:hAnsi="Calibri" w:cs="Calibri"/>
        </w:rPr>
        <w:t>VAT</w:t>
      </w:r>
      <w:r w:rsidR="00DB15F8">
        <w:rPr>
          <w:rFonts w:ascii="Calibri" w:hAnsi="Calibri" w:cs="Calibri"/>
        </w:rPr>
        <w:t>)</w:t>
      </w:r>
      <w:r w:rsidR="005A7CC1" w:rsidRPr="00D25AAB">
        <w:rPr>
          <w:rFonts w:ascii="Calibri" w:hAnsi="Calibri" w:cs="Calibri"/>
        </w:rPr>
        <w:t xml:space="preserve"> for travel and accommodation. </w:t>
      </w:r>
    </w:p>
    <w:p w14:paraId="584E0232" w14:textId="77777777" w:rsidR="00331AFF" w:rsidRPr="00D25AAB" w:rsidRDefault="00331AFF" w:rsidP="00331AFF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31AFF" w:rsidRPr="00D25AAB" w14:paraId="0E716478" w14:textId="77777777" w:rsidTr="00331AFF">
        <w:tc>
          <w:tcPr>
            <w:tcW w:w="4508" w:type="dxa"/>
          </w:tcPr>
          <w:p w14:paraId="43B72137" w14:textId="77777777" w:rsidR="00331AFF" w:rsidRPr="00D25AAB" w:rsidRDefault="00647536" w:rsidP="00331AFF">
            <w:pPr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Stage of case</w:t>
            </w:r>
          </w:p>
        </w:tc>
        <w:tc>
          <w:tcPr>
            <w:tcW w:w="4508" w:type="dxa"/>
          </w:tcPr>
          <w:p w14:paraId="638207C8" w14:textId="61540A89" w:rsidR="00331AFF" w:rsidRPr="00524FD0" w:rsidRDefault="00331AFF" w:rsidP="00331AFF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524FD0">
              <w:rPr>
                <w:rFonts w:ascii="Calibri" w:hAnsi="Calibri" w:cs="Calibri"/>
                <w:b/>
                <w:bCs/>
                <w:u w:val="single"/>
              </w:rPr>
              <w:t xml:space="preserve">Range of </w:t>
            </w:r>
            <w:r w:rsidR="00254674">
              <w:rPr>
                <w:rFonts w:ascii="Calibri" w:hAnsi="Calibri" w:cs="Calibri"/>
                <w:b/>
                <w:bCs/>
                <w:u w:val="single"/>
              </w:rPr>
              <w:t xml:space="preserve">fixed </w:t>
            </w:r>
            <w:r w:rsidRPr="00524FD0">
              <w:rPr>
                <w:rFonts w:ascii="Calibri" w:hAnsi="Calibri" w:cs="Calibri"/>
                <w:b/>
                <w:bCs/>
                <w:u w:val="single"/>
              </w:rPr>
              <w:t xml:space="preserve">fees </w:t>
            </w:r>
            <w:r w:rsidR="000120C2" w:rsidRPr="00524FD0">
              <w:rPr>
                <w:rFonts w:ascii="Calibri" w:hAnsi="Calibri" w:cs="Calibri"/>
                <w:b/>
                <w:bCs/>
                <w:u w:val="single"/>
              </w:rPr>
              <w:t xml:space="preserve">including VAT </w:t>
            </w:r>
            <w:r w:rsidRPr="00524FD0">
              <w:rPr>
                <w:rFonts w:ascii="Calibri" w:hAnsi="Calibri" w:cs="Calibri"/>
                <w:b/>
                <w:bCs/>
                <w:u w:val="single"/>
              </w:rPr>
              <w:t>(estimates)</w:t>
            </w:r>
          </w:p>
        </w:tc>
      </w:tr>
      <w:tr w:rsidR="00331AFF" w:rsidRPr="00D25AAB" w14:paraId="474DF9B3" w14:textId="77777777" w:rsidTr="00331AFF">
        <w:tc>
          <w:tcPr>
            <w:tcW w:w="4508" w:type="dxa"/>
          </w:tcPr>
          <w:p w14:paraId="2F27F6C8" w14:textId="77777777" w:rsidR="00331AFF" w:rsidRPr="00D25AAB" w:rsidRDefault="00331AFF" w:rsidP="00331AFF">
            <w:pPr>
              <w:rPr>
                <w:rFonts w:ascii="Calibri" w:hAnsi="Calibri" w:cs="Calibri"/>
              </w:rPr>
            </w:pPr>
            <w:r w:rsidRPr="00D25AAB">
              <w:rPr>
                <w:rFonts w:ascii="Calibri" w:hAnsi="Calibri" w:cs="Calibri"/>
              </w:rPr>
              <w:t>Initial conference</w:t>
            </w:r>
          </w:p>
        </w:tc>
        <w:tc>
          <w:tcPr>
            <w:tcW w:w="4508" w:type="dxa"/>
          </w:tcPr>
          <w:p w14:paraId="2B33306C" w14:textId="77777777" w:rsidR="00331AFF" w:rsidRPr="00DB15F8" w:rsidRDefault="00331AFF" w:rsidP="00331AFF">
            <w:pPr>
              <w:rPr>
                <w:rFonts w:ascii="Calibri" w:hAnsi="Calibri" w:cs="Calibri"/>
              </w:rPr>
            </w:pPr>
            <w:r w:rsidRPr="00DB15F8">
              <w:rPr>
                <w:rFonts w:ascii="Calibri" w:hAnsi="Calibri" w:cs="Calibri"/>
              </w:rPr>
              <w:t>£</w:t>
            </w:r>
            <w:r w:rsidR="00DB15F8" w:rsidRPr="00DB15F8">
              <w:rPr>
                <w:rFonts w:ascii="Calibri" w:hAnsi="Calibri" w:cs="Calibri"/>
              </w:rPr>
              <w:t xml:space="preserve">600 </w:t>
            </w:r>
            <w:r w:rsidRPr="00DB15F8">
              <w:rPr>
                <w:rFonts w:ascii="Calibri" w:hAnsi="Calibri" w:cs="Calibri"/>
              </w:rPr>
              <w:t>-</w:t>
            </w:r>
            <w:r w:rsidR="00DB15F8" w:rsidRPr="00DB15F8">
              <w:rPr>
                <w:rFonts w:ascii="Calibri" w:hAnsi="Calibri" w:cs="Calibri"/>
              </w:rPr>
              <w:t xml:space="preserve"> </w:t>
            </w:r>
            <w:r w:rsidRPr="00DB15F8">
              <w:rPr>
                <w:rFonts w:ascii="Calibri" w:hAnsi="Calibri" w:cs="Calibri"/>
              </w:rPr>
              <w:t>£</w:t>
            </w:r>
            <w:r w:rsidR="00DB15F8" w:rsidRPr="00DB15F8">
              <w:rPr>
                <w:rFonts w:ascii="Calibri" w:hAnsi="Calibri" w:cs="Calibri"/>
              </w:rPr>
              <w:t>1000</w:t>
            </w:r>
          </w:p>
          <w:p w14:paraId="65D569F0" w14:textId="77777777" w:rsidR="00331AFF" w:rsidRPr="00DB15F8" w:rsidRDefault="00331AFF" w:rsidP="00331AFF">
            <w:pPr>
              <w:rPr>
                <w:rFonts w:ascii="Calibri" w:hAnsi="Calibri" w:cs="Calibri"/>
              </w:rPr>
            </w:pPr>
          </w:p>
        </w:tc>
      </w:tr>
      <w:tr w:rsidR="00331AFF" w:rsidRPr="00D25AAB" w14:paraId="6620347E" w14:textId="77777777" w:rsidTr="00331AFF">
        <w:tc>
          <w:tcPr>
            <w:tcW w:w="4508" w:type="dxa"/>
          </w:tcPr>
          <w:p w14:paraId="157115E1" w14:textId="77777777" w:rsidR="00331AFF" w:rsidRPr="00D25AAB" w:rsidRDefault="00331AFF" w:rsidP="00331AFF">
            <w:pPr>
              <w:rPr>
                <w:rFonts w:ascii="Calibri" w:hAnsi="Calibri" w:cs="Calibri"/>
              </w:rPr>
            </w:pPr>
            <w:r w:rsidRPr="00D25AAB">
              <w:rPr>
                <w:rFonts w:ascii="Calibri" w:hAnsi="Calibri" w:cs="Calibri"/>
              </w:rPr>
              <w:t>Written advice on your claim</w:t>
            </w:r>
          </w:p>
        </w:tc>
        <w:tc>
          <w:tcPr>
            <w:tcW w:w="4508" w:type="dxa"/>
          </w:tcPr>
          <w:p w14:paraId="2E612804" w14:textId="77777777" w:rsidR="00D25AAB" w:rsidRPr="00DB15F8" w:rsidRDefault="00D25AAB" w:rsidP="00D25AAB">
            <w:pPr>
              <w:rPr>
                <w:rFonts w:ascii="Calibri" w:hAnsi="Calibri" w:cs="Calibri"/>
              </w:rPr>
            </w:pPr>
            <w:r w:rsidRPr="00DB15F8">
              <w:rPr>
                <w:rFonts w:ascii="Calibri" w:hAnsi="Calibri" w:cs="Calibri"/>
              </w:rPr>
              <w:t>£</w:t>
            </w:r>
            <w:r w:rsidR="00DB15F8" w:rsidRPr="00DB15F8">
              <w:rPr>
                <w:rFonts w:ascii="Calibri" w:hAnsi="Calibri" w:cs="Calibri"/>
              </w:rPr>
              <w:t xml:space="preserve">500 </w:t>
            </w:r>
            <w:r w:rsidRPr="00DB15F8">
              <w:rPr>
                <w:rFonts w:ascii="Calibri" w:hAnsi="Calibri" w:cs="Calibri"/>
              </w:rPr>
              <w:t>-</w:t>
            </w:r>
            <w:r w:rsidR="00DB15F8" w:rsidRPr="00DB15F8">
              <w:rPr>
                <w:rFonts w:ascii="Calibri" w:hAnsi="Calibri" w:cs="Calibri"/>
              </w:rPr>
              <w:t xml:space="preserve"> </w:t>
            </w:r>
            <w:r w:rsidRPr="00DB15F8">
              <w:rPr>
                <w:rFonts w:ascii="Calibri" w:hAnsi="Calibri" w:cs="Calibri"/>
              </w:rPr>
              <w:t>£</w:t>
            </w:r>
            <w:r w:rsidR="00DB15F8" w:rsidRPr="00DB15F8">
              <w:rPr>
                <w:rFonts w:ascii="Calibri" w:hAnsi="Calibri" w:cs="Calibri"/>
              </w:rPr>
              <w:t>850</w:t>
            </w:r>
          </w:p>
          <w:p w14:paraId="6048DBAC" w14:textId="77777777" w:rsidR="00331AFF" w:rsidRPr="00DB15F8" w:rsidRDefault="00331AFF" w:rsidP="00331AFF">
            <w:pPr>
              <w:rPr>
                <w:rFonts w:ascii="Calibri" w:hAnsi="Calibri" w:cs="Calibri"/>
              </w:rPr>
            </w:pPr>
          </w:p>
        </w:tc>
      </w:tr>
      <w:tr w:rsidR="00331AFF" w:rsidRPr="00D25AAB" w14:paraId="18E522BD" w14:textId="77777777" w:rsidTr="00331AFF">
        <w:tc>
          <w:tcPr>
            <w:tcW w:w="4508" w:type="dxa"/>
          </w:tcPr>
          <w:p w14:paraId="7C8AABE6" w14:textId="77777777" w:rsidR="00331AFF" w:rsidRPr="00D25AAB" w:rsidRDefault="00647536" w:rsidP="00331A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Preparation of case, including meetings with you and assistance with drafting of any tribunal documents </w:t>
            </w:r>
          </w:p>
        </w:tc>
        <w:tc>
          <w:tcPr>
            <w:tcW w:w="4508" w:type="dxa"/>
          </w:tcPr>
          <w:p w14:paraId="6EF1867F" w14:textId="77777777" w:rsidR="00D25AAB" w:rsidRPr="00DB15F8" w:rsidRDefault="00D25AAB" w:rsidP="00D25AAB">
            <w:pPr>
              <w:rPr>
                <w:rFonts w:ascii="Calibri" w:hAnsi="Calibri" w:cs="Calibri"/>
              </w:rPr>
            </w:pPr>
            <w:r w:rsidRPr="00DB15F8">
              <w:rPr>
                <w:rFonts w:ascii="Calibri" w:hAnsi="Calibri" w:cs="Calibri"/>
              </w:rPr>
              <w:t>£</w:t>
            </w:r>
            <w:r w:rsidR="00DB15F8" w:rsidRPr="00DB15F8">
              <w:rPr>
                <w:rFonts w:ascii="Calibri" w:hAnsi="Calibri" w:cs="Calibri"/>
              </w:rPr>
              <w:t xml:space="preserve">750 </w:t>
            </w:r>
            <w:r w:rsidRPr="00DB15F8">
              <w:rPr>
                <w:rFonts w:ascii="Calibri" w:hAnsi="Calibri" w:cs="Calibri"/>
              </w:rPr>
              <w:t>-</w:t>
            </w:r>
            <w:r w:rsidR="00DB15F8" w:rsidRPr="00DB15F8">
              <w:rPr>
                <w:rFonts w:ascii="Calibri" w:hAnsi="Calibri" w:cs="Calibri"/>
              </w:rPr>
              <w:t xml:space="preserve"> </w:t>
            </w:r>
            <w:r w:rsidRPr="00DB15F8">
              <w:rPr>
                <w:rFonts w:ascii="Calibri" w:hAnsi="Calibri" w:cs="Calibri"/>
              </w:rPr>
              <w:t>£</w:t>
            </w:r>
            <w:r w:rsidR="00DB15F8" w:rsidRPr="00DB15F8">
              <w:rPr>
                <w:rFonts w:ascii="Calibri" w:hAnsi="Calibri" w:cs="Calibri"/>
              </w:rPr>
              <w:t>1500</w:t>
            </w:r>
          </w:p>
          <w:p w14:paraId="42C19E5D" w14:textId="77777777" w:rsidR="00331AFF" w:rsidRPr="00DB15F8" w:rsidRDefault="00331AFF" w:rsidP="00331AFF">
            <w:pPr>
              <w:rPr>
                <w:rFonts w:ascii="Calibri" w:hAnsi="Calibri" w:cs="Calibri"/>
              </w:rPr>
            </w:pPr>
          </w:p>
        </w:tc>
      </w:tr>
      <w:tr w:rsidR="00331AFF" w:rsidRPr="00D25AAB" w14:paraId="7988DCDA" w14:textId="77777777" w:rsidTr="00331AFF">
        <w:tc>
          <w:tcPr>
            <w:tcW w:w="4508" w:type="dxa"/>
          </w:tcPr>
          <w:p w14:paraId="2972750B" w14:textId="77777777" w:rsidR="00331AFF" w:rsidRPr="00D25AAB" w:rsidRDefault="00647536" w:rsidP="00331A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Preliminary hearing</w:t>
            </w:r>
          </w:p>
        </w:tc>
        <w:tc>
          <w:tcPr>
            <w:tcW w:w="4508" w:type="dxa"/>
          </w:tcPr>
          <w:p w14:paraId="2700EC4E" w14:textId="77777777" w:rsidR="00D25AAB" w:rsidRPr="00DB15F8" w:rsidRDefault="00D25AAB" w:rsidP="00D25AAB">
            <w:pPr>
              <w:rPr>
                <w:rFonts w:ascii="Calibri" w:hAnsi="Calibri" w:cs="Calibri"/>
              </w:rPr>
            </w:pPr>
            <w:r w:rsidRPr="00DB15F8">
              <w:rPr>
                <w:rFonts w:ascii="Calibri" w:hAnsi="Calibri" w:cs="Calibri"/>
              </w:rPr>
              <w:t>£</w:t>
            </w:r>
            <w:r w:rsidR="00DB15F8" w:rsidRPr="00DB15F8">
              <w:rPr>
                <w:rFonts w:ascii="Calibri" w:hAnsi="Calibri" w:cs="Calibri"/>
              </w:rPr>
              <w:t xml:space="preserve">650 </w:t>
            </w:r>
            <w:r w:rsidRPr="00DB15F8">
              <w:rPr>
                <w:rFonts w:ascii="Calibri" w:hAnsi="Calibri" w:cs="Calibri"/>
              </w:rPr>
              <w:t>-</w:t>
            </w:r>
            <w:r w:rsidR="00DB15F8" w:rsidRPr="00DB15F8">
              <w:rPr>
                <w:rFonts w:ascii="Calibri" w:hAnsi="Calibri" w:cs="Calibri"/>
              </w:rPr>
              <w:t xml:space="preserve"> </w:t>
            </w:r>
            <w:r w:rsidRPr="00DB15F8">
              <w:rPr>
                <w:rFonts w:ascii="Calibri" w:hAnsi="Calibri" w:cs="Calibri"/>
              </w:rPr>
              <w:t>£</w:t>
            </w:r>
            <w:r w:rsidR="00DB15F8" w:rsidRPr="00DB15F8">
              <w:rPr>
                <w:rFonts w:ascii="Calibri" w:hAnsi="Calibri" w:cs="Calibri"/>
              </w:rPr>
              <w:t>1250</w:t>
            </w:r>
          </w:p>
          <w:p w14:paraId="697646D9" w14:textId="77777777" w:rsidR="00331AFF" w:rsidRPr="00DB15F8" w:rsidRDefault="00331AFF" w:rsidP="00331AFF">
            <w:pPr>
              <w:rPr>
                <w:rFonts w:ascii="Calibri" w:hAnsi="Calibri" w:cs="Calibri"/>
              </w:rPr>
            </w:pPr>
          </w:p>
        </w:tc>
      </w:tr>
      <w:tr w:rsidR="00331AFF" w:rsidRPr="00D25AAB" w14:paraId="631F269A" w14:textId="77777777" w:rsidTr="00331AFF">
        <w:tc>
          <w:tcPr>
            <w:tcW w:w="4508" w:type="dxa"/>
          </w:tcPr>
          <w:p w14:paraId="128D983A" w14:textId="77777777" w:rsidR="00331AFF" w:rsidRPr="00D25AAB" w:rsidRDefault="00647536" w:rsidP="00331A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day’s tribunal appearance</w:t>
            </w:r>
            <w:r w:rsidR="00331AFF" w:rsidRPr="00D25AA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508" w:type="dxa"/>
          </w:tcPr>
          <w:p w14:paraId="5D159474" w14:textId="77777777" w:rsidR="00524FD0" w:rsidRPr="00DB15F8" w:rsidRDefault="00524FD0" w:rsidP="00524FD0">
            <w:pPr>
              <w:rPr>
                <w:rFonts w:ascii="Calibri" w:hAnsi="Calibri" w:cs="Calibri"/>
              </w:rPr>
            </w:pPr>
            <w:r w:rsidRPr="00DB15F8">
              <w:rPr>
                <w:rFonts w:ascii="Calibri" w:hAnsi="Calibri" w:cs="Calibri"/>
              </w:rPr>
              <w:t>£</w:t>
            </w:r>
            <w:r w:rsidR="00DB15F8" w:rsidRPr="00DB15F8">
              <w:rPr>
                <w:rFonts w:ascii="Calibri" w:hAnsi="Calibri" w:cs="Calibri"/>
              </w:rPr>
              <w:t xml:space="preserve">850 </w:t>
            </w:r>
            <w:r w:rsidRPr="00DB15F8">
              <w:rPr>
                <w:rFonts w:ascii="Calibri" w:hAnsi="Calibri" w:cs="Calibri"/>
              </w:rPr>
              <w:t>-</w:t>
            </w:r>
            <w:r w:rsidR="00DB15F8" w:rsidRPr="00DB15F8">
              <w:rPr>
                <w:rFonts w:ascii="Calibri" w:hAnsi="Calibri" w:cs="Calibri"/>
              </w:rPr>
              <w:t xml:space="preserve"> </w:t>
            </w:r>
            <w:r w:rsidRPr="00DB15F8">
              <w:rPr>
                <w:rFonts w:ascii="Calibri" w:hAnsi="Calibri" w:cs="Calibri"/>
              </w:rPr>
              <w:t>£</w:t>
            </w:r>
            <w:r w:rsidR="00DB15F8" w:rsidRPr="00DB15F8">
              <w:rPr>
                <w:rFonts w:ascii="Calibri" w:hAnsi="Calibri" w:cs="Calibri"/>
              </w:rPr>
              <w:t>2000</w:t>
            </w:r>
          </w:p>
          <w:p w14:paraId="1FED0680" w14:textId="77777777" w:rsidR="00331AFF" w:rsidRPr="00DB15F8" w:rsidRDefault="00331AFF" w:rsidP="00331AFF">
            <w:pPr>
              <w:rPr>
                <w:rFonts w:ascii="Calibri" w:hAnsi="Calibri" w:cs="Calibri"/>
              </w:rPr>
            </w:pPr>
          </w:p>
        </w:tc>
      </w:tr>
      <w:tr w:rsidR="00647536" w:rsidRPr="00D25AAB" w14:paraId="4A1C0163" w14:textId="77777777" w:rsidTr="00331AFF">
        <w:tc>
          <w:tcPr>
            <w:tcW w:w="4508" w:type="dxa"/>
          </w:tcPr>
          <w:p w14:paraId="3D18D470" w14:textId="77777777" w:rsidR="00647536" w:rsidRDefault="00647536" w:rsidP="00331A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Tribunal appearances per day, after the first day</w:t>
            </w:r>
          </w:p>
        </w:tc>
        <w:tc>
          <w:tcPr>
            <w:tcW w:w="4508" w:type="dxa"/>
          </w:tcPr>
          <w:p w14:paraId="7C9A9524" w14:textId="77777777" w:rsidR="00524FD0" w:rsidRPr="00DB15F8" w:rsidRDefault="00524FD0" w:rsidP="00524FD0">
            <w:pPr>
              <w:rPr>
                <w:rFonts w:ascii="Calibri" w:hAnsi="Calibri" w:cs="Calibri"/>
              </w:rPr>
            </w:pPr>
            <w:r w:rsidRPr="00DB15F8">
              <w:rPr>
                <w:rFonts w:ascii="Calibri" w:hAnsi="Calibri" w:cs="Calibri"/>
              </w:rPr>
              <w:t>£</w:t>
            </w:r>
            <w:r w:rsidR="00DB15F8" w:rsidRPr="00DB15F8">
              <w:rPr>
                <w:rFonts w:ascii="Calibri" w:hAnsi="Calibri" w:cs="Calibri"/>
              </w:rPr>
              <w:t xml:space="preserve">500 </w:t>
            </w:r>
            <w:r w:rsidRPr="00DB15F8">
              <w:rPr>
                <w:rFonts w:ascii="Calibri" w:hAnsi="Calibri" w:cs="Calibri"/>
              </w:rPr>
              <w:t>-</w:t>
            </w:r>
            <w:r w:rsidR="00DB15F8" w:rsidRPr="00DB15F8">
              <w:rPr>
                <w:rFonts w:ascii="Calibri" w:hAnsi="Calibri" w:cs="Calibri"/>
              </w:rPr>
              <w:t xml:space="preserve"> </w:t>
            </w:r>
            <w:r w:rsidRPr="00DB15F8">
              <w:rPr>
                <w:rFonts w:ascii="Calibri" w:hAnsi="Calibri" w:cs="Calibri"/>
              </w:rPr>
              <w:t>£</w:t>
            </w:r>
            <w:r w:rsidR="00DB15F8" w:rsidRPr="00DB15F8">
              <w:rPr>
                <w:rFonts w:ascii="Calibri" w:hAnsi="Calibri" w:cs="Calibri"/>
              </w:rPr>
              <w:t>1250</w:t>
            </w:r>
          </w:p>
          <w:p w14:paraId="515878B8" w14:textId="77777777" w:rsidR="00647536" w:rsidRPr="00DB15F8" w:rsidRDefault="00647536" w:rsidP="00331AFF">
            <w:pPr>
              <w:rPr>
                <w:rFonts w:ascii="Calibri" w:hAnsi="Calibri" w:cs="Calibri"/>
              </w:rPr>
            </w:pPr>
          </w:p>
        </w:tc>
      </w:tr>
      <w:tr w:rsidR="00647536" w:rsidRPr="00D25AAB" w14:paraId="18D18656" w14:textId="77777777" w:rsidTr="00331AFF">
        <w:tc>
          <w:tcPr>
            <w:tcW w:w="4508" w:type="dxa"/>
          </w:tcPr>
          <w:p w14:paraId="2F6E04F0" w14:textId="77777777" w:rsidR="00647536" w:rsidRDefault="00647536" w:rsidP="00331A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Remedy hearing (to decide compensation)</w:t>
            </w:r>
          </w:p>
        </w:tc>
        <w:tc>
          <w:tcPr>
            <w:tcW w:w="4508" w:type="dxa"/>
          </w:tcPr>
          <w:p w14:paraId="2AC03A17" w14:textId="77777777" w:rsidR="00524FD0" w:rsidRPr="00DB15F8" w:rsidRDefault="00524FD0" w:rsidP="00524FD0">
            <w:pPr>
              <w:rPr>
                <w:rFonts w:ascii="Calibri" w:hAnsi="Calibri" w:cs="Calibri"/>
              </w:rPr>
            </w:pPr>
            <w:r w:rsidRPr="00DB15F8">
              <w:rPr>
                <w:rFonts w:ascii="Calibri" w:hAnsi="Calibri" w:cs="Calibri"/>
              </w:rPr>
              <w:t>£</w:t>
            </w:r>
            <w:r w:rsidR="00DB15F8" w:rsidRPr="00DB15F8">
              <w:rPr>
                <w:rFonts w:ascii="Calibri" w:hAnsi="Calibri" w:cs="Calibri"/>
              </w:rPr>
              <w:t xml:space="preserve">750 </w:t>
            </w:r>
            <w:r w:rsidRPr="00DB15F8">
              <w:rPr>
                <w:rFonts w:ascii="Calibri" w:hAnsi="Calibri" w:cs="Calibri"/>
              </w:rPr>
              <w:t>-</w:t>
            </w:r>
            <w:r w:rsidR="00DB15F8" w:rsidRPr="00DB15F8">
              <w:rPr>
                <w:rFonts w:ascii="Calibri" w:hAnsi="Calibri" w:cs="Calibri"/>
              </w:rPr>
              <w:t xml:space="preserve"> </w:t>
            </w:r>
            <w:r w:rsidRPr="00DB15F8">
              <w:rPr>
                <w:rFonts w:ascii="Calibri" w:hAnsi="Calibri" w:cs="Calibri"/>
              </w:rPr>
              <w:t>£</w:t>
            </w:r>
            <w:r w:rsidR="00DB15F8" w:rsidRPr="00DB15F8">
              <w:rPr>
                <w:rFonts w:ascii="Calibri" w:hAnsi="Calibri" w:cs="Calibri"/>
              </w:rPr>
              <w:t>1500</w:t>
            </w:r>
          </w:p>
          <w:p w14:paraId="2B814219" w14:textId="77777777" w:rsidR="00647536" w:rsidRPr="00DB15F8" w:rsidRDefault="00647536" w:rsidP="00331AFF">
            <w:pPr>
              <w:rPr>
                <w:rFonts w:ascii="Calibri" w:hAnsi="Calibri" w:cs="Calibri"/>
              </w:rPr>
            </w:pPr>
          </w:p>
        </w:tc>
      </w:tr>
    </w:tbl>
    <w:p w14:paraId="712C3F48" w14:textId="363C1E55" w:rsidR="00083BC3" w:rsidRPr="00083BC3" w:rsidRDefault="00331AFF" w:rsidP="00083BC3">
      <w:pPr>
        <w:rPr>
          <w:rFonts w:ascii="Calibri" w:hAnsi="Calibri" w:cs="Calibri"/>
        </w:rPr>
      </w:pPr>
      <w:r w:rsidRPr="00D25AAB">
        <w:rPr>
          <w:rFonts w:ascii="Calibri" w:hAnsi="Calibri" w:cs="Calibri"/>
        </w:rPr>
        <w:lastRenderedPageBreak/>
        <w:t>All information is correct as of January 202</w:t>
      </w:r>
      <w:r w:rsidR="00432D37">
        <w:rPr>
          <w:rFonts w:ascii="Calibri" w:hAnsi="Calibri" w:cs="Calibri"/>
        </w:rPr>
        <w:t>3</w:t>
      </w:r>
      <w:r w:rsidRPr="00D25AAB">
        <w:rPr>
          <w:rFonts w:ascii="Calibri" w:hAnsi="Calibri" w:cs="Calibri"/>
        </w:rPr>
        <w:t xml:space="preserve">, but the fees above are estimates only. For a quotation, please contact the clerks on clerks@tgchambers.com. </w:t>
      </w:r>
      <w:r w:rsidR="00083BC3" w:rsidRPr="00083BC3">
        <w:rPr>
          <w:rFonts w:ascii="Calibri" w:hAnsi="Calibri" w:cs="Calibri"/>
        </w:rPr>
        <w:t>We will provide you with a quote as soon as possible. We always aim to set out quotes clearly, but if you receive your quote and there is something you do not understand, please contact us.</w:t>
      </w:r>
    </w:p>
    <w:p w14:paraId="67B7A68A" w14:textId="498495FB" w:rsidR="00331AFF" w:rsidRPr="00D25AAB" w:rsidRDefault="00331AFF" w:rsidP="00331AFF">
      <w:pPr>
        <w:rPr>
          <w:rFonts w:ascii="Calibri" w:hAnsi="Calibri" w:cs="Calibri"/>
        </w:rPr>
      </w:pPr>
    </w:p>
    <w:p w14:paraId="04926136" w14:textId="77777777" w:rsidR="00331AFF" w:rsidRPr="00D25AAB" w:rsidRDefault="00331AFF">
      <w:pPr>
        <w:rPr>
          <w:rFonts w:ascii="Calibri" w:hAnsi="Calibri" w:cs="Calibri"/>
        </w:rPr>
      </w:pPr>
    </w:p>
    <w:sectPr w:rsidR="00331AFF" w:rsidRPr="00D25AAB" w:rsidSect="00E86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131AB"/>
    <w:multiLevelType w:val="hybridMultilevel"/>
    <w:tmpl w:val="F9F84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AFF"/>
    <w:rsid w:val="000120C2"/>
    <w:rsid w:val="00083BC3"/>
    <w:rsid w:val="00180B00"/>
    <w:rsid w:val="00254674"/>
    <w:rsid w:val="002D3E92"/>
    <w:rsid w:val="00331AFF"/>
    <w:rsid w:val="00331C4A"/>
    <w:rsid w:val="00432D37"/>
    <w:rsid w:val="004F0C82"/>
    <w:rsid w:val="00524FD0"/>
    <w:rsid w:val="005540F9"/>
    <w:rsid w:val="005A74EA"/>
    <w:rsid w:val="005A7CC1"/>
    <w:rsid w:val="00647536"/>
    <w:rsid w:val="00711414"/>
    <w:rsid w:val="007D17EC"/>
    <w:rsid w:val="00AF74BB"/>
    <w:rsid w:val="00C817B5"/>
    <w:rsid w:val="00D25AAB"/>
    <w:rsid w:val="00D27BEE"/>
    <w:rsid w:val="00D808D0"/>
    <w:rsid w:val="00D86136"/>
    <w:rsid w:val="00DB15F8"/>
    <w:rsid w:val="00E350C3"/>
    <w:rsid w:val="00E86B42"/>
    <w:rsid w:val="00F23032"/>
    <w:rsid w:val="00F9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5020B"/>
  <w15:chartTrackingRefBased/>
  <w15:docId w15:val="{E01B11C8-4EB5-D048-BACA-C3AC1016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AF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1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5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5F8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Wakeman</dc:creator>
  <cp:keywords/>
  <dc:description/>
  <cp:lastModifiedBy>Nancy Rice</cp:lastModifiedBy>
  <cp:revision>2</cp:revision>
  <cp:lastPrinted>2021-01-20T08:20:00Z</cp:lastPrinted>
  <dcterms:created xsi:type="dcterms:W3CDTF">2022-12-30T11:38:00Z</dcterms:created>
  <dcterms:modified xsi:type="dcterms:W3CDTF">2022-12-30T11:38:00Z</dcterms:modified>
</cp:coreProperties>
</file>